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8D4FA6" w:rsidTr="000F380B">
        <w:tc>
          <w:tcPr>
            <w:tcW w:w="3794" w:type="dxa"/>
            <w:vAlign w:val="bottom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8D4FA6" w:rsidTr="00CF781C">
        <w:tc>
          <w:tcPr>
            <w:tcW w:w="379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8D4FA6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8D4FA6">
        <w:rPr>
          <w:rFonts w:ascii="Arial Narrow" w:hAnsi="Arial Narrow" w:cs="Times New Roman"/>
          <w:b/>
          <w:smallCaps/>
          <w:sz w:val="20"/>
        </w:rPr>
        <w:t xml:space="preserve">Protokół przebiegu egzaminu maturalnego </w:t>
      </w:r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– s</w:t>
      </w:r>
      <w:r w:rsidRPr="008D4FA6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8D4FA6">
        <w:rPr>
          <w:rFonts w:ascii="Arial Narrow" w:hAnsi="Arial Narrow" w:cs="Times New Roman"/>
          <w:smallCaps/>
          <w:sz w:val="20"/>
        </w:rPr>
        <w:t>………………</w:t>
      </w:r>
    </w:p>
    <w:p w:rsidR="00944395" w:rsidRPr="008D4FA6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RPr="008D4FA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z w:val="20"/>
              </w:rPr>
            </w:pPr>
            <w:r w:rsidRPr="008D4FA6">
              <w:rPr>
                <w:rFonts w:ascii="Arial Narrow" w:hAnsi="Arial Narrow" w:cs="Times New Roman"/>
                <w:sz w:val="20"/>
              </w:rPr>
              <w:t>podstawowy / rozszerzony / dwujęzyczny</w:t>
            </w:r>
          </w:p>
        </w:tc>
      </w:tr>
    </w:tbl>
    <w:p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Godzina rozpoczęcia pracy zdających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</w:t>
      </w:r>
      <w:r w:rsidR="00352503"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Godzina zakończenia pracy zdających</w:t>
      </w:r>
      <w:r w:rsidR="00352503"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..........................</w:t>
      </w:r>
    </w:p>
    <w:p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3909"/>
        <w:gridCol w:w="656"/>
        <w:gridCol w:w="658"/>
        <w:gridCol w:w="745"/>
        <w:gridCol w:w="745"/>
        <w:gridCol w:w="828"/>
        <w:gridCol w:w="830"/>
        <w:gridCol w:w="806"/>
      </w:tblGrid>
      <w:tr w:rsidR="00DC7703" w:rsidRPr="008D4FA6" w:rsidTr="00DC7703">
        <w:trPr>
          <w:cantSplit/>
          <w:trHeight w:val="64"/>
        </w:trPr>
        <w:tc>
          <w:tcPr>
            <w:tcW w:w="2263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4FA6" w:rsidRPr="008D4FA6" w:rsidRDefault="008D4FA6" w:rsidP="008D4FA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8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77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3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RD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4FA6" w:rsidRPr="008D4FA6" w:rsidRDefault="008D4FA6" w:rsidP="008D4FA6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CB4AF7" w:rsidRPr="008D4FA6" w:rsidTr="00DC7703">
        <w:trPr>
          <w:cantSplit/>
          <w:trHeight w:val="64"/>
        </w:trPr>
        <w:tc>
          <w:tcPr>
            <w:tcW w:w="2263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703" w:rsidRPr="00C84AA0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C84AA0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703" w:rsidRPr="00C84AA0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C84AA0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CB4AF7" w:rsidRPr="008D4FA6" w:rsidTr="00DC7703">
        <w:trPr>
          <w:cantSplit/>
        </w:trPr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8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CB4AF7" w:rsidRPr="008D4FA6" w:rsidTr="00DC7703">
        <w:trPr>
          <w:cantSplit/>
        </w:trPr>
        <w:tc>
          <w:tcPr>
            <w:tcW w:w="232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DC7703" w:rsidRPr="008D4FA6" w:rsidRDefault="00DC7703" w:rsidP="00DC770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2031" w:type="pct"/>
            <w:tcBorders>
              <w:left w:val="single" w:sz="4" w:space="0" w:color="006600"/>
              <w:right w:val="single" w:sz="12" w:space="0" w:color="auto"/>
            </w:tcBorders>
          </w:tcPr>
          <w:p w:rsidR="00DC7703" w:rsidRPr="008D4FA6" w:rsidRDefault="00DC7703" w:rsidP="00DC7703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4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arkuszy egzaminacyjnych 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płyt CD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4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rPr>
          <w:cantSplit/>
          <w:trHeight w:val="350"/>
        </w:trPr>
        <w:tc>
          <w:tcPr>
            <w:tcW w:w="232" w:type="pct"/>
            <w:vMerge w:val="restart"/>
            <w:tcBorders>
              <w:lef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2031" w:type="pct"/>
            <w:tcBorders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4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rPr>
          <w:cantSplit/>
        </w:trPr>
        <w:tc>
          <w:tcPr>
            <w:tcW w:w="232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2031" w:type="pct"/>
            <w:tcBorders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4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DC7703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sz w:val="12"/>
          <w:szCs w:val="18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8D4FA6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obcym. 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 wyłącznie egzaminu z</w:t>
      </w:r>
      <w:r w:rsidR="00DC7703">
        <w:rPr>
          <w:rFonts w:ascii="Arial Narrow" w:eastAsia="Calibri" w:hAnsi="Arial Narrow" w:cs="Times New Roman"/>
          <w:sz w:val="16"/>
          <w:szCs w:val="18"/>
        </w:rPr>
        <w:t xml:space="preserve"> języka polskiego na PP oraz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 w:rsidR="008D4FA6">
        <w:rPr>
          <w:rFonts w:ascii="Arial Narrow" w:eastAsia="Calibri" w:hAnsi="Arial Narrow" w:cs="Times New Roman"/>
          <w:sz w:val="16"/>
          <w:szCs w:val="18"/>
        </w:rPr>
        <w:t>PR</w:t>
      </w:r>
      <w:r w:rsidRPr="008D4FA6">
        <w:rPr>
          <w:rFonts w:ascii="Arial Narrow" w:eastAsia="Calibri" w:hAnsi="Arial Narrow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Dotyczy wyłącznie egzaminów z języków obcych nowożytnych.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Należy określić przyczynę/przyczyny unieważnienia w tabeli poniżej.</w:t>
      </w:r>
    </w:p>
    <w:p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lang w:eastAsia="pl-PL"/>
        </w:rPr>
      </w:pPr>
    </w:p>
    <w:p w:rsidR="00EC3F16" w:rsidRPr="008D4FA6" w:rsidRDefault="00EC3F16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Liczba wymienionych </w:t>
      </w: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wadliwych płyt CD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do przeprowadzenia egzaminu z języka obcego nowożytnego: ........................</w:t>
      </w:r>
    </w:p>
    <w:p w:rsidR="00423FBB" w:rsidRPr="008D4FA6" w:rsidRDefault="00423FBB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1 – unieważnienie w przypadku stwierdzenia niesamodzielnego rozwiązywania zadań przez zdającego.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3 – unieważnienie z powodu zakłócania przez zdającego prawidłowego przebiegu egzaminu.</w:t>
      </w:r>
    </w:p>
    <w:p w:rsidR="00EC3F16" w:rsidRPr="008D4FA6" w:rsidRDefault="00EC3F16" w:rsidP="00EC3F16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4"/>
          <w:szCs w:val="14"/>
          <w:lang w:eastAsia="pl-PL"/>
        </w:rPr>
      </w:pPr>
    </w:p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 xml:space="preserve">Uwagi dotyczące arkuszy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informacja o płytach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CD dołączonych do arkuszy, liczbie stron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wydruków komputerowych, nośnikach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8D4FA6" w:rsidRDefault="00944395" w:rsidP="00944395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</w:t>
      </w:r>
    </w:p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8D4FA6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</w:t>
      </w:r>
    </w:p>
    <w:p w:rsidR="00423FBB" w:rsidRPr="008D4FA6" w:rsidRDefault="00423FBB" w:rsidP="00423FB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miejscu przeprowadzania 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</w:t>
      </w:r>
    </w:p>
    <w:p w:rsidR="00423FBB" w:rsidRPr="008D4FA6" w:rsidRDefault="00423FBB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390089" w:rsidRPr="008D4FA6" w:rsidRDefault="00390089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8D4FA6" w:rsidTr="00C23706">
        <w:trPr>
          <w:jc w:val="right"/>
        </w:trPr>
        <w:tc>
          <w:tcPr>
            <w:tcW w:w="3112" w:type="dxa"/>
          </w:tcPr>
          <w:p w:rsidR="00C23706" w:rsidRPr="008D4FA6" w:rsidRDefault="00C23706" w:rsidP="00C237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8D4FA6" w:rsidTr="00CF781C">
        <w:tc>
          <w:tcPr>
            <w:tcW w:w="534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CF781C">
        <w:tc>
          <w:tcPr>
            <w:tcW w:w="534" w:type="dxa"/>
            <w:vAlign w:val="bottom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133BE" w:rsidRPr="008D4FA6" w:rsidTr="00390089">
        <w:tc>
          <w:tcPr>
            <w:tcW w:w="531" w:type="dxa"/>
            <w:vAlign w:val="center"/>
          </w:tcPr>
          <w:p w:rsidR="00E133BE" w:rsidRPr="008D4FA6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8D4FA6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 unieważniono egzamin i/lub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8D4FA6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zdających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stron: …</w:t>
            </w:r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………</w:t>
            </w: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8D4FA6" w:rsidTr="00390089">
        <w:tc>
          <w:tcPr>
            <w:tcW w:w="531" w:type="dxa"/>
            <w:vAlign w:val="center"/>
          </w:tcPr>
          <w:p w:rsidR="00390089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8D4FA6" w:rsidRDefault="0022220B" w:rsidP="0022220B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plan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sali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8D4FA6" w:rsidRDefault="00390089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419"/>
        <w:gridCol w:w="1835"/>
      </w:tblGrid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56" w:type="pct"/>
            <w:vAlign w:val="center"/>
          </w:tcPr>
          <w:p w:rsidR="00944395" w:rsidRPr="008D4FA6" w:rsidRDefault="008D4FA6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Miejsce zatrudnienia członka ZN</w:t>
            </w:r>
            <w:r w:rsidR="00944395"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0"/>
          <w:szCs w:val="12"/>
          <w:lang w:eastAsia="pl-PL"/>
        </w:rPr>
      </w:pP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Objaśnienia: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* Należy wpisać: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1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zatrudnionego w szkole, w której przeprowadzany jest egzamin;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2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</w:t>
      </w:r>
      <w:r w:rsidR="00423FBB" w:rsidRPr="008D4FA6">
        <w:rPr>
          <w:rFonts w:ascii="Arial Narrow" w:eastAsia="Times New Roman" w:hAnsi="Arial Narrow" w:cs="Times New Roman"/>
          <w:sz w:val="16"/>
          <w:lang w:eastAsia="pl-PL"/>
        </w:rPr>
        <w:t xml:space="preserve">o w innej szkole lub w placówce; </w:t>
      </w:r>
    </w:p>
    <w:p w:rsidR="00944395" w:rsidRPr="008D4FA6" w:rsidRDefault="00423FBB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3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osoba, o której mowa w § </w:t>
      </w:r>
      <w:r w:rsidR="008D4FA6">
        <w:rPr>
          <w:rFonts w:ascii="Arial Narrow" w:eastAsia="Times New Roman" w:hAnsi="Arial Narrow" w:cs="Times New Roman"/>
          <w:sz w:val="16"/>
          <w:lang w:eastAsia="pl-PL"/>
        </w:rPr>
        <w:t>11kz ust. 2 rozporządzenia Ministra Edukacji Narodowej z dnia 20 marca 2020 r. w sprawie szczególnych rozwiązań w okresie czasowego ograniczenia funkcjonowania jednostek systemu oświaty w związku z zapobieganiem, przeciwdziałaniem i zwalczan</w:t>
      </w:r>
      <w:r w:rsidR="00DC7703">
        <w:rPr>
          <w:rFonts w:ascii="Arial Narrow" w:eastAsia="Times New Roman" w:hAnsi="Arial Narrow" w:cs="Times New Roman"/>
          <w:sz w:val="16"/>
          <w:lang w:eastAsia="pl-PL"/>
        </w:rPr>
        <w:t>iem COVID-19 (Dz.U. poz. 493, z </w:t>
      </w:r>
      <w:proofErr w:type="spellStart"/>
      <w:r w:rsidR="008D4FA6">
        <w:rPr>
          <w:rFonts w:ascii="Arial Narrow" w:eastAsia="Times New Roman" w:hAnsi="Arial Narrow" w:cs="Times New Roman"/>
          <w:sz w:val="16"/>
          <w:lang w:eastAsia="pl-PL"/>
        </w:rPr>
        <w:t>późn</w:t>
      </w:r>
      <w:proofErr w:type="spellEnd"/>
      <w:r w:rsidR="008D4FA6">
        <w:rPr>
          <w:rFonts w:ascii="Arial Narrow" w:eastAsia="Times New Roman" w:hAnsi="Arial Narrow" w:cs="Times New Roman"/>
          <w:sz w:val="16"/>
          <w:lang w:eastAsia="pl-PL"/>
        </w:rPr>
        <w:t xml:space="preserve">. zm.), tj. </w:t>
      </w:r>
      <w:r w:rsidR="00DC7703">
        <w:rPr>
          <w:rFonts w:ascii="Arial Narrow" w:eastAsia="Times New Roman" w:hAnsi="Arial Narrow" w:cs="Times New Roman"/>
          <w:sz w:val="16"/>
          <w:lang w:eastAsia="pl-PL"/>
        </w:rPr>
        <w:t>nauczyciele niezatrudnieni w szkole lub placówce oraz przedstawiciele kuratorium, uczelni, placówki doskonalenia nauczycieli, poradni psychologiczno-pedagogicznej.</w:t>
      </w:r>
    </w:p>
    <w:p w:rsidR="00AC7336" w:rsidRPr="008D4FA6" w:rsidRDefault="00B97865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4"/>
          <w:szCs w:val="4"/>
          <w:lang w:eastAsia="pl-PL"/>
        </w:rPr>
      </w:pPr>
      <w:r w:rsidRPr="008D4FA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471805</wp:posOffset>
                </wp:positionH>
                <wp:positionV relativeFrom="paragraph">
                  <wp:posOffset>688793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786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7865" w:rsidRPr="004D1E04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7865" w:rsidRPr="008D4FA6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D4FA6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97865" w:rsidRDefault="00B97865" w:rsidP="00B9786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15pt;margin-top:5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AVfPc73wAAAAo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786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7865" w:rsidRPr="004D1E04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7865" w:rsidRPr="008D4FA6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D4FA6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97865" w:rsidRDefault="00B97865" w:rsidP="00B97865"/>
                  </w:txbxContent>
                </v:textbox>
              </v:shape>
            </w:pict>
          </mc:Fallback>
        </mc:AlternateContent>
      </w:r>
    </w:p>
    <w:sectPr w:rsidR="00AC7336" w:rsidRPr="008D4FA6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D95" w:rsidRDefault="00201D95" w:rsidP="00CB34AF">
      <w:pPr>
        <w:spacing w:after="0" w:line="240" w:lineRule="auto"/>
      </w:pPr>
      <w:r>
        <w:separator/>
      </w:r>
    </w:p>
  </w:endnote>
  <w:endnote w:type="continuationSeparator" w:id="0">
    <w:p w:rsidR="00201D95" w:rsidRDefault="00201D9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6450BB7-B3C1-4F4E-BAEA-D8E315A69698}"/>
    <w:embedBold r:id="rId2" w:fontKey="{8F8523B1-B0EC-4EA7-9FBA-A4D648BBE6DD}"/>
    <w:embedItalic r:id="rId3" w:fontKey="{23326242-3780-4CB4-89AC-08BF0846EAC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3F121C2-6BEC-4D53-8AB5-5E468B6AB52F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D95" w:rsidRDefault="00201D95" w:rsidP="00CB34AF">
      <w:pPr>
        <w:spacing w:after="0" w:line="240" w:lineRule="auto"/>
      </w:pPr>
      <w:r>
        <w:separator/>
      </w:r>
    </w:p>
  </w:footnote>
  <w:footnote w:type="continuationSeparator" w:id="0">
    <w:p w:rsidR="00201D95" w:rsidRDefault="00201D9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8D4FA6">
      <w:trPr>
        <w:trHeight w:val="132"/>
      </w:trPr>
      <w:tc>
        <w:tcPr>
          <w:tcW w:w="1384" w:type="dxa"/>
          <w:shd w:val="clear" w:color="auto" w:fill="F2B800"/>
        </w:tcPr>
        <w:p w:rsidR="00CB34AF" w:rsidRPr="008D4FA6" w:rsidRDefault="00AC7336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8D4FA6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8D4FA6" w:rsidRDefault="007C18B8" w:rsidP="00AC7336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8D4FA6">
            <w:rPr>
              <w:rFonts w:ascii="Arial Narrow" w:hAnsi="Arial Narrow" w:cs="Times New Roman"/>
              <w:i/>
              <w:sz w:val="18"/>
            </w:rPr>
            <w:t>P</w:t>
          </w:r>
          <w:r w:rsidR="00AC7336" w:rsidRPr="008D4FA6">
            <w:rPr>
              <w:rFonts w:ascii="Arial Narrow" w:hAnsi="Arial Narrow" w:cs="Times New Roman"/>
              <w:i/>
              <w:sz w:val="18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62D3E"/>
    <w:rsid w:val="000817E6"/>
    <w:rsid w:val="000B520B"/>
    <w:rsid w:val="000B553A"/>
    <w:rsid w:val="000F380B"/>
    <w:rsid w:val="00143972"/>
    <w:rsid w:val="001874F4"/>
    <w:rsid w:val="001C793D"/>
    <w:rsid w:val="001F33CA"/>
    <w:rsid w:val="001F5BDE"/>
    <w:rsid w:val="00201D95"/>
    <w:rsid w:val="0022220B"/>
    <w:rsid w:val="00247B38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23FBB"/>
    <w:rsid w:val="00462878"/>
    <w:rsid w:val="004B542B"/>
    <w:rsid w:val="00544842"/>
    <w:rsid w:val="00554F4A"/>
    <w:rsid w:val="00575A67"/>
    <w:rsid w:val="00592E0E"/>
    <w:rsid w:val="0060584D"/>
    <w:rsid w:val="00624062"/>
    <w:rsid w:val="0065047F"/>
    <w:rsid w:val="00674315"/>
    <w:rsid w:val="00692AA5"/>
    <w:rsid w:val="006F0C96"/>
    <w:rsid w:val="007348D8"/>
    <w:rsid w:val="007614C5"/>
    <w:rsid w:val="00776102"/>
    <w:rsid w:val="007C18B8"/>
    <w:rsid w:val="0088572E"/>
    <w:rsid w:val="00897428"/>
    <w:rsid w:val="008D4FA6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5302C"/>
    <w:rsid w:val="00C5500B"/>
    <w:rsid w:val="00C734A5"/>
    <w:rsid w:val="00C84AA0"/>
    <w:rsid w:val="00C91500"/>
    <w:rsid w:val="00CB34AF"/>
    <w:rsid w:val="00CB4AF7"/>
    <w:rsid w:val="00D03E3C"/>
    <w:rsid w:val="00D10DC9"/>
    <w:rsid w:val="00D87835"/>
    <w:rsid w:val="00DC7703"/>
    <w:rsid w:val="00DD6425"/>
    <w:rsid w:val="00DE2F22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4C54-6CF4-4BFC-ACF5-C91E93DA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16</dc:title>
  <dc:subject/>
  <dc:creator>Centralna Komisja Egzaminacyjna</dc:creator>
  <cp:keywords/>
  <dc:description/>
  <cp:lastModifiedBy>Marcin</cp:lastModifiedBy>
  <cp:revision>4</cp:revision>
  <dcterms:created xsi:type="dcterms:W3CDTF">2020-08-19T06:57:00Z</dcterms:created>
  <dcterms:modified xsi:type="dcterms:W3CDTF">2020-08-19T07:00:00Z</dcterms:modified>
</cp:coreProperties>
</file>